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75121979" w:rsidR="001A4731" w:rsidRDefault="00F32B01" w:rsidP="009024B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Friday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January</w:t>
      </w:r>
      <w:r w:rsidR="002574AD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>0th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="00193AEA" w:rsidRPr="0042161D">
        <w:rPr>
          <w:rFonts w:cstheme="minorHAnsi"/>
          <w:b/>
          <w:sz w:val="24"/>
          <w:szCs w:val="24"/>
        </w:rPr>
        <w:t>2</w:t>
      </w:r>
      <w:r w:rsidR="002574AD">
        <w:rPr>
          <w:rFonts w:cstheme="minorHAnsi"/>
          <w:b/>
          <w:sz w:val="24"/>
          <w:szCs w:val="24"/>
        </w:rPr>
        <w:t>3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E70087">
        <w:rPr>
          <w:rFonts w:cstheme="minorHAnsi"/>
          <w:b/>
          <w:sz w:val="24"/>
          <w:szCs w:val="24"/>
        </w:rPr>
        <w:t>10:00</w:t>
      </w:r>
      <w:r w:rsidR="00193AEA"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="00193AEA" w:rsidRPr="0042161D">
        <w:rPr>
          <w:rFonts w:cstheme="minorHAnsi"/>
          <w:b/>
          <w:sz w:val="24"/>
          <w:szCs w:val="24"/>
        </w:rPr>
        <w:t xml:space="preserve">- </w:t>
      </w:r>
      <w:r w:rsidR="00E70087">
        <w:rPr>
          <w:rFonts w:cstheme="minorHAnsi"/>
          <w:b/>
          <w:sz w:val="24"/>
          <w:szCs w:val="24"/>
        </w:rPr>
        <w:t>4:00</w:t>
      </w:r>
      <w:r w:rsidR="0002117D" w:rsidRPr="0042161D">
        <w:rPr>
          <w:rFonts w:cstheme="minorHAnsi"/>
          <w:b/>
          <w:sz w:val="24"/>
          <w:szCs w:val="24"/>
        </w:rPr>
        <w:t xml:space="preserve"> </w:t>
      </w:r>
      <w:r w:rsidR="00E70087">
        <w:rPr>
          <w:rFonts w:cstheme="minorHAnsi"/>
          <w:b/>
          <w:sz w:val="24"/>
          <w:szCs w:val="24"/>
        </w:rPr>
        <w:t>pm</w:t>
      </w:r>
    </w:p>
    <w:p w14:paraId="52682DB8" w14:textId="10538B92" w:rsidR="00E70087" w:rsidRPr="0042161D" w:rsidRDefault="00E70087" w:rsidP="009024B8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Prescott Valley Center PV40-214</w:t>
      </w:r>
      <w:bookmarkStart w:id="0" w:name="_GoBack"/>
      <w:bookmarkEnd w:id="0"/>
    </w:p>
    <w:p w14:paraId="47719847" w14:textId="31B6B531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DB6BB0">
        <w:rPr>
          <w:rFonts w:cstheme="minorHAnsi"/>
        </w:rPr>
        <w:t xml:space="preserve">David </w:t>
      </w:r>
      <w:proofErr w:type="gramStart"/>
      <w:r w:rsidR="00DB6BB0">
        <w:rPr>
          <w:rFonts w:cstheme="minorHAnsi"/>
        </w:rPr>
        <w:t xml:space="preserve">Laurence, </w:t>
      </w:r>
      <w:r w:rsidR="00E518A8">
        <w:rPr>
          <w:rFonts w:cstheme="minorHAnsi"/>
        </w:rPr>
        <w:t xml:space="preserve"> </w:t>
      </w:r>
      <w:r w:rsidR="00875C19">
        <w:rPr>
          <w:rFonts w:cstheme="minorHAnsi"/>
        </w:rPr>
        <w:t>Tania</w:t>
      </w:r>
      <w:proofErr w:type="gramEnd"/>
      <w:r w:rsidR="00875C19">
        <w:rPr>
          <w:rFonts w:cstheme="minorHAnsi"/>
        </w:rPr>
        <w:t xml:space="preserve"> Sheldahl, </w:t>
      </w:r>
      <w:r w:rsidR="00290B29">
        <w:rPr>
          <w:rFonts w:cstheme="minorHAnsi"/>
        </w:rPr>
        <w:t xml:space="preserve">Heather Mulcaire, </w:t>
      </w:r>
      <w:r w:rsidR="00E518A8">
        <w:rPr>
          <w:rFonts w:cstheme="minorHAnsi"/>
        </w:rPr>
        <w:t>Michael Merica</w:t>
      </w:r>
      <w:r w:rsidR="004E42EF" w:rsidRPr="0042161D">
        <w:rPr>
          <w:rFonts w:cstheme="minorHAnsi"/>
        </w:rPr>
        <w:t xml:space="preserve">, </w:t>
      </w:r>
      <w:r w:rsidR="00437D6C">
        <w:rPr>
          <w:rFonts w:cstheme="minorHAnsi"/>
        </w:rPr>
        <w:t xml:space="preserve">Frank D’Angelo, Clay Christensen, </w:t>
      </w:r>
      <w:r w:rsidR="00290B29">
        <w:rPr>
          <w:rFonts w:cstheme="minorHAnsi"/>
        </w:rPr>
        <w:t xml:space="preserve">Michael Pierce, </w:t>
      </w:r>
      <w:r w:rsidR="00F32B01">
        <w:rPr>
          <w:rFonts w:cstheme="minorHAnsi"/>
        </w:rPr>
        <w:t>Megan Crossfield</w:t>
      </w:r>
      <w:r w:rsidR="00E518A8">
        <w:rPr>
          <w:rFonts w:cstheme="minorHAnsi"/>
        </w:rPr>
        <w:t xml:space="preserve">, </w:t>
      </w:r>
      <w:r w:rsidR="00F32B01">
        <w:rPr>
          <w:rFonts w:cstheme="minorHAnsi"/>
        </w:rPr>
        <w:t xml:space="preserve">Ginney Bilbray, Richard Hernandez, Haley Green, Jeremy Poehnert, James Crocket, Tom Hughes, </w:t>
      </w:r>
      <w:r w:rsidR="00290B29">
        <w:rPr>
          <w:rFonts w:cstheme="minorHAnsi"/>
        </w:rPr>
        <w:t xml:space="preserve">and </w:t>
      </w:r>
      <w:r w:rsidR="00E518A8">
        <w:rPr>
          <w:rFonts w:cstheme="minorHAnsi"/>
        </w:rPr>
        <w:t xml:space="preserve">Dr. </w:t>
      </w:r>
      <w:r w:rsidR="00290B29">
        <w:rPr>
          <w:rFonts w:cstheme="minorHAnsi"/>
        </w:rPr>
        <w:t>Clint Ewell</w:t>
      </w:r>
      <w:r w:rsidR="004E42EF" w:rsidRPr="0042161D">
        <w:rPr>
          <w:rFonts w:cstheme="minorHAnsi"/>
        </w:rPr>
        <w:t>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515"/>
        <w:gridCol w:w="8544"/>
      </w:tblGrid>
      <w:tr w:rsidR="000E7664" w:rsidRPr="0042161D" w14:paraId="2967190D" w14:textId="77777777" w:rsidTr="00C40F14">
        <w:trPr>
          <w:trHeight w:val="173"/>
        </w:trPr>
        <w:tc>
          <w:tcPr>
            <w:tcW w:w="251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854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27147E0D" w14:textId="77777777" w:rsidTr="00B204FE">
        <w:trPr>
          <w:trHeight w:val="1322"/>
        </w:trPr>
        <w:tc>
          <w:tcPr>
            <w:tcW w:w="2515" w:type="dxa"/>
          </w:tcPr>
          <w:p w14:paraId="68A5E5A2" w14:textId="23BD4D0F" w:rsidR="002574AD" w:rsidRPr="002574AD" w:rsidRDefault="00F32B01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Strategic Plan Review</w:t>
            </w:r>
          </w:p>
          <w:p w14:paraId="1FDA4EDC" w14:textId="15DF38D2" w:rsidR="007A0833" w:rsidRPr="002574AD" w:rsidRDefault="007A0833" w:rsidP="00E518A8">
            <w:pPr>
              <w:pStyle w:val="NoSpacing"/>
              <w:rPr>
                <w:rFonts w:cstheme="minorHAnsi"/>
              </w:rPr>
            </w:pPr>
          </w:p>
        </w:tc>
        <w:tc>
          <w:tcPr>
            <w:tcW w:w="8544" w:type="dxa"/>
          </w:tcPr>
          <w:p w14:paraId="151022D2" w14:textId="5F4FA113" w:rsidR="00E518A8" w:rsidRPr="00E518A8" w:rsidRDefault="00F32B01" w:rsidP="00E518A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 conducted a review of the strategic plan.</w:t>
            </w:r>
            <w:r w:rsidR="00E518A8">
              <w:rPr>
                <w:rFonts w:cstheme="minorHAnsi"/>
              </w:rPr>
              <w:t xml:space="preserve"> </w:t>
            </w:r>
          </w:p>
        </w:tc>
      </w:tr>
      <w:tr w:rsidR="002574AD" w:rsidRPr="0042161D" w14:paraId="065B10C8" w14:textId="77777777" w:rsidTr="00EF7D86">
        <w:trPr>
          <w:trHeight w:val="2060"/>
        </w:trPr>
        <w:tc>
          <w:tcPr>
            <w:tcW w:w="2515" w:type="dxa"/>
          </w:tcPr>
          <w:p w14:paraId="1C9172CC" w14:textId="2F0C7FC1" w:rsidR="002574AD" w:rsidRPr="002574AD" w:rsidRDefault="00F32B01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Environmental Scan and YC Data Trends; Key Performance Indicators and Education/Reading Recap</w:t>
            </w:r>
          </w:p>
          <w:p w14:paraId="1FCD7964" w14:textId="77777777" w:rsidR="002574AD" w:rsidRPr="002574AD" w:rsidRDefault="002574AD" w:rsidP="00E518A8">
            <w:pPr>
              <w:pStyle w:val="NoSpacing"/>
              <w:rPr>
                <w:rFonts w:cstheme="minorHAnsi"/>
              </w:rPr>
            </w:pPr>
          </w:p>
        </w:tc>
        <w:tc>
          <w:tcPr>
            <w:tcW w:w="8544" w:type="dxa"/>
          </w:tcPr>
          <w:p w14:paraId="06A441A8" w14:textId="77777777" w:rsidR="00E518A8" w:rsidRDefault="00F32B01" w:rsidP="00F32B01">
            <w:pPr>
              <w:pStyle w:val="NoSpacing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 provided a review of the Environmental Scan and key YC data trends that compared Fall 12 to Fall 22.</w:t>
            </w:r>
          </w:p>
          <w:p w14:paraId="5AE6F80A" w14:textId="77777777" w:rsidR="00F32B01" w:rsidRDefault="00F32B01" w:rsidP="00F32B01">
            <w:pPr>
              <w:pStyle w:val="NoSpacing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Key Performance Indicators (KPIs) were shared with the committee. The KPIs will be on the website by February 28</w:t>
            </w:r>
            <w:r w:rsidRPr="00F32B0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.</w:t>
            </w:r>
          </w:p>
          <w:p w14:paraId="28B6C2C7" w14:textId="506D707D" w:rsidR="00F32B01" w:rsidRPr="002574AD" w:rsidRDefault="00EF7D86" w:rsidP="00F32B01">
            <w:pPr>
              <w:pStyle w:val="NoSpacing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 presented overview of education and evidence gained from this year’s committee readings.</w:t>
            </w:r>
          </w:p>
        </w:tc>
      </w:tr>
      <w:tr w:rsidR="00F32B01" w:rsidRPr="0042161D" w14:paraId="39EC204F" w14:textId="77777777" w:rsidTr="00987A45">
        <w:trPr>
          <w:trHeight w:val="1169"/>
        </w:trPr>
        <w:tc>
          <w:tcPr>
            <w:tcW w:w="2515" w:type="dxa"/>
          </w:tcPr>
          <w:p w14:paraId="5A9BB7BD" w14:textId="0BA186A6" w:rsidR="00F32B01" w:rsidRDefault="006108F4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SWOT Exercise</w:t>
            </w:r>
          </w:p>
        </w:tc>
        <w:tc>
          <w:tcPr>
            <w:tcW w:w="8544" w:type="dxa"/>
          </w:tcPr>
          <w:p w14:paraId="489FBFC0" w14:textId="77777777" w:rsidR="00F32B01" w:rsidRDefault="006108F4" w:rsidP="006108F4">
            <w:pPr>
              <w:pStyle w:val="NoSpacing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Committee participated in a group exercise to create a new Strengths, Weaknesses, Opportunities, and Threats the college faces.</w:t>
            </w:r>
          </w:p>
          <w:p w14:paraId="67C97ED5" w14:textId="77777777" w:rsidR="006108F4" w:rsidRDefault="006108F4" w:rsidP="006108F4">
            <w:pPr>
              <w:pStyle w:val="NoSpacing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Tom to compile SWOT and share with the committee members.</w:t>
            </w:r>
          </w:p>
          <w:p w14:paraId="22E4ADCC" w14:textId="1DD0A152" w:rsidR="006108F4" w:rsidRPr="002574AD" w:rsidRDefault="006108F4" w:rsidP="006108F4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6108F4" w:rsidRPr="0042161D" w14:paraId="07420741" w14:textId="77777777" w:rsidTr="00E70087">
        <w:trPr>
          <w:trHeight w:val="2780"/>
        </w:trPr>
        <w:tc>
          <w:tcPr>
            <w:tcW w:w="2515" w:type="dxa"/>
          </w:tcPr>
          <w:p w14:paraId="03DCDB4D" w14:textId="3E7C1CB4" w:rsidR="006108F4" w:rsidRDefault="006108F4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FY2024 Strategic Priorities</w:t>
            </w:r>
          </w:p>
        </w:tc>
        <w:tc>
          <w:tcPr>
            <w:tcW w:w="8544" w:type="dxa"/>
          </w:tcPr>
          <w:p w14:paraId="693B8F4F" w14:textId="707CB94A" w:rsidR="006108F4" w:rsidRDefault="006108F4" w:rsidP="006108F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Committee created six new FY24 strategic priorities based on evidence discovered during this year’s education activities.</w:t>
            </w:r>
          </w:p>
          <w:p w14:paraId="7BDD3767" w14:textId="334497CD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Expand Health Science Programs</w:t>
            </w:r>
          </w:p>
          <w:p w14:paraId="69806657" w14:textId="71C3CBB2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Integrate AI &amp; VR into Programs</w:t>
            </w:r>
          </w:p>
          <w:p w14:paraId="7F6A6AD0" w14:textId="6A2FC7E1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Grow </w:t>
            </w:r>
            <w:proofErr w:type="gramStart"/>
            <w:r>
              <w:rPr>
                <w:rFonts w:cstheme="minorHAnsi"/>
              </w:rPr>
              <w:t>competency based</w:t>
            </w:r>
            <w:proofErr w:type="gramEnd"/>
            <w:r>
              <w:rPr>
                <w:rFonts w:cstheme="minorHAnsi"/>
              </w:rPr>
              <w:t xml:space="preserve"> courses</w:t>
            </w:r>
          </w:p>
          <w:p w14:paraId="4613E15F" w14:textId="7EC44BF7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Deliniation</w:t>
            </w:r>
            <w:proofErr w:type="spellEnd"/>
            <w:r>
              <w:rPr>
                <w:rFonts w:cstheme="minorHAnsi"/>
              </w:rPr>
              <w:t xml:space="preserve"> of roles and responsibilities in workforce offerings</w:t>
            </w:r>
          </w:p>
          <w:p w14:paraId="4BA3360B" w14:textId="4758E5F2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Co-award non-credit and credit</w:t>
            </w:r>
          </w:p>
          <w:p w14:paraId="387A3DAC" w14:textId="15B18E11" w:rsidR="006108F4" w:rsidRDefault="006108F4" w:rsidP="006108F4">
            <w:pPr>
              <w:pStyle w:val="NoSpacing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Prepare for ERP Upgrade through college process review</w:t>
            </w:r>
          </w:p>
          <w:p w14:paraId="423F6CF7" w14:textId="688FD21E" w:rsidR="006108F4" w:rsidRDefault="006108F4" w:rsidP="006108F4">
            <w:pPr>
              <w:pStyle w:val="NoSpacing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Clint will take FY24 priorities to ELT for approval</w:t>
            </w:r>
          </w:p>
          <w:p w14:paraId="4AD5CDB9" w14:textId="6157328F" w:rsidR="006108F4" w:rsidRDefault="006108F4" w:rsidP="006108F4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987A45" w:rsidRPr="0042161D" w14:paraId="10BD4B78" w14:textId="77777777" w:rsidTr="00E70087">
        <w:trPr>
          <w:trHeight w:val="1601"/>
        </w:trPr>
        <w:tc>
          <w:tcPr>
            <w:tcW w:w="2515" w:type="dxa"/>
          </w:tcPr>
          <w:p w14:paraId="2C436127" w14:textId="1F8F9685" w:rsidR="00987A45" w:rsidRDefault="00987A45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Determine when initiatives/actions should be retired or changed</w:t>
            </w:r>
          </w:p>
        </w:tc>
        <w:tc>
          <w:tcPr>
            <w:tcW w:w="8544" w:type="dxa"/>
          </w:tcPr>
          <w:p w14:paraId="0797A7D5" w14:textId="77777777" w:rsidR="00987A45" w:rsidRDefault="00987A45" w:rsidP="00987A45">
            <w:pPr>
              <w:pStyle w:val="NoSpacing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Committee reviewed FY23 strategic priorities and</w:t>
            </w:r>
            <w:r w:rsidR="00E70087">
              <w:rPr>
                <w:rFonts w:cstheme="minorHAnsi"/>
              </w:rPr>
              <w:t xml:space="preserve"> decided which initiatives should be kept, marked as completed or operationalized, and actions that should be voided.</w:t>
            </w:r>
          </w:p>
          <w:p w14:paraId="2FF2CD5E" w14:textId="5F36CA8C" w:rsidR="00E70087" w:rsidRDefault="00E70087" w:rsidP="00987A45">
            <w:pPr>
              <w:pStyle w:val="NoSpacing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Status updates for FY23 strategic priorities will be complied by Tom and shared with the committee.</w:t>
            </w:r>
          </w:p>
        </w:tc>
      </w:tr>
      <w:tr w:rsidR="00E70087" w:rsidRPr="0042161D" w14:paraId="128531EB" w14:textId="77777777" w:rsidTr="00E70087">
        <w:trPr>
          <w:trHeight w:val="1781"/>
        </w:trPr>
        <w:tc>
          <w:tcPr>
            <w:tcW w:w="2515" w:type="dxa"/>
          </w:tcPr>
          <w:p w14:paraId="4DE0036E" w14:textId="7C920B6A" w:rsidR="00E70087" w:rsidRDefault="00E70087" w:rsidP="002574AD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Next Steps</w:t>
            </w:r>
          </w:p>
        </w:tc>
        <w:tc>
          <w:tcPr>
            <w:tcW w:w="8544" w:type="dxa"/>
          </w:tcPr>
          <w:p w14:paraId="53221380" w14:textId="77777777" w:rsidR="00E70087" w:rsidRDefault="00E70087" w:rsidP="00E70087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Draft of FY24 </w:t>
            </w:r>
            <w:proofErr w:type="spellStart"/>
            <w:r>
              <w:rPr>
                <w:rFonts w:cstheme="minorHAnsi"/>
              </w:rPr>
              <w:t>Priorites</w:t>
            </w:r>
            <w:proofErr w:type="spellEnd"/>
            <w:r>
              <w:rPr>
                <w:rFonts w:cstheme="minorHAnsi"/>
              </w:rPr>
              <w:t xml:space="preserve"> to ELT by January 24</w:t>
            </w:r>
          </w:p>
          <w:p w14:paraId="61374EE7" w14:textId="77777777" w:rsidR="00E70087" w:rsidRDefault="00E70087" w:rsidP="00E70087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College-wide presentation February 15</w:t>
            </w:r>
          </w:p>
          <w:p w14:paraId="16F18674" w14:textId="77777777" w:rsidR="00E70087" w:rsidRDefault="00E70087" w:rsidP="00E70087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Draft update of Strategic Plan by February 28</w:t>
            </w:r>
          </w:p>
          <w:p w14:paraId="3D361350" w14:textId="77777777" w:rsidR="00E70087" w:rsidRDefault="00E70087" w:rsidP="00E70087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College Plans updated to align with top priorities</w:t>
            </w:r>
          </w:p>
          <w:p w14:paraId="25F065FC" w14:textId="5C6C2602" w:rsidR="00E70087" w:rsidRPr="00E70087" w:rsidRDefault="00E70087" w:rsidP="00E70087">
            <w:pPr>
              <w:pStyle w:val="NoSpacing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SPC video to share new FY24 priorities by April 30</w:t>
            </w:r>
          </w:p>
        </w:tc>
      </w:tr>
    </w:tbl>
    <w:p w14:paraId="03F30366" w14:textId="1A973854" w:rsidR="009065F5" w:rsidRPr="0023088A" w:rsidRDefault="009065F5" w:rsidP="00E70087">
      <w:pPr>
        <w:rPr>
          <w:rFonts w:cstheme="minorHAnsi"/>
          <w:bCs/>
        </w:rPr>
      </w:pP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766B2"/>
    <w:multiLevelType w:val="hybridMultilevel"/>
    <w:tmpl w:val="E938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5ECF"/>
    <w:multiLevelType w:val="hybridMultilevel"/>
    <w:tmpl w:val="35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34EF2"/>
    <w:multiLevelType w:val="hybridMultilevel"/>
    <w:tmpl w:val="1638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50D2"/>
    <w:multiLevelType w:val="hybridMultilevel"/>
    <w:tmpl w:val="35B0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F62"/>
    <w:multiLevelType w:val="hybridMultilevel"/>
    <w:tmpl w:val="8982B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7A2E"/>
    <w:multiLevelType w:val="hybridMultilevel"/>
    <w:tmpl w:val="136438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B58C8"/>
    <w:multiLevelType w:val="hybridMultilevel"/>
    <w:tmpl w:val="1A98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402A"/>
    <w:multiLevelType w:val="hybridMultilevel"/>
    <w:tmpl w:val="C5640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D0654"/>
    <w:multiLevelType w:val="hybridMultilevel"/>
    <w:tmpl w:val="DE3057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85ED4"/>
    <w:multiLevelType w:val="hybridMultilevel"/>
    <w:tmpl w:val="35B0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B2895"/>
    <w:multiLevelType w:val="hybridMultilevel"/>
    <w:tmpl w:val="098A3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1"/>
  </w:num>
  <w:num w:numId="5">
    <w:abstractNumId w:val="9"/>
  </w:num>
  <w:num w:numId="6">
    <w:abstractNumId w:val="7"/>
  </w:num>
  <w:num w:numId="7">
    <w:abstractNumId w:val="29"/>
  </w:num>
  <w:num w:numId="8">
    <w:abstractNumId w:val="23"/>
  </w:num>
  <w:num w:numId="9">
    <w:abstractNumId w:val="17"/>
  </w:num>
  <w:num w:numId="10">
    <w:abstractNumId w:val="31"/>
  </w:num>
  <w:num w:numId="11">
    <w:abstractNumId w:val="5"/>
  </w:num>
  <w:num w:numId="12">
    <w:abstractNumId w:val="26"/>
  </w:num>
  <w:num w:numId="13">
    <w:abstractNumId w:val="14"/>
  </w:num>
  <w:num w:numId="14">
    <w:abstractNumId w:val="30"/>
  </w:num>
  <w:num w:numId="15">
    <w:abstractNumId w:val="2"/>
  </w:num>
  <w:num w:numId="16">
    <w:abstractNumId w:val="4"/>
  </w:num>
  <w:num w:numId="17">
    <w:abstractNumId w:val="13"/>
  </w:num>
  <w:num w:numId="18">
    <w:abstractNumId w:val="21"/>
  </w:num>
  <w:num w:numId="19">
    <w:abstractNumId w:val="8"/>
  </w:num>
  <w:num w:numId="20">
    <w:abstractNumId w:val="15"/>
  </w:num>
  <w:num w:numId="21">
    <w:abstractNumId w:val="19"/>
  </w:num>
  <w:num w:numId="22">
    <w:abstractNumId w:val="0"/>
  </w:num>
  <w:num w:numId="23">
    <w:abstractNumId w:val="32"/>
  </w:num>
  <w:num w:numId="24">
    <w:abstractNumId w:val="18"/>
  </w:num>
  <w:num w:numId="25">
    <w:abstractNumId w:val="20"/>
  </w:num>
  <w:num w:numId="26">
    <w:abstractNumId w:val="33"/>
  </w:num>
  <w:num w:numId="27">
    <w:abstractNumId w:val="22"/>
  </w:num>
  <w:num w:numId="28">
    <w:abstractNumId w:val="6"/>
  </w:num>
  <w:num w:numId="29">
    <w:abstractNumId w:val="10"/>
  </w:num>
  <w:num w:numId="30">
    <w:abstractNumId w:val="12"/>
  </w:num>
  <w:num w:numId="31">
    <w:abstractNumId w:val="16"/>
  </w:num>
  <w:num w:numId="32">
    <w:abstractNumId w:val="24"/>
  </w:num>
  <w:num w:numId="33">
    <w:abstractNumId w:val="25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0FALRFXEk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574AD"/>
    <w:rsid w:val="00263DD3"/>
    <w:rsid w:val="00281770"/>
    <w:rsid w:val="002876B4"/>
    <w:rsid w:val="00290B29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C317C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F06C7"/>
    <w:rsid w:val="005137F3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603789"/>
    <w:rsid w:val="00604B8E"/>
    <w:rsid w:val="006079CE"/>
    <w:rsid w:val="006108F4"/>
    <w:rsid w:val="00617619"/>
    <w:rsid w:val="006308CF"/>
    <w:rsid w:val="00634D3B"/>
    <w:rsid w:val="00637B2C"/>
    <w:rsid w:val="00642557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267D"/>
    <w:rsid w:val="0075666C"/>
    <w:rsid w:val="00756D9E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87A45"/>
    <w:rsid w:val="009A2A19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5122"/>
    <w:rsid w:val="00A37825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04FE"/>
    <w:rsid w:val="00B261D6"/>
    <w:rsid w:val="00B55960"/>
    <w:rsid w:val="00B60710"/>
    <w:rsid w:val="00B92702"/>
    <w:rsid w:val="00BA0FAC"/>
    <w:rsid w:val="00BC521D"/>
    <w:rsid w:val="00BD3E0D"/>
    <w:rsid w:val="00BD507F"/>
    <w:rsid w:val="00BE5715"/>
    <w:rsid w:val="00BF663B"/>
    <w:rsid w:val="00BF7F98"/>
    <w:rsid w:val="00C16864"/>
    <w:rsid w:val="00C1711B"/>
    <w:rsid w:val="00C2134F"/>
    <w:rsid w:val="00C33B5C"/>
    <w:rsid w:val="00C40F14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18A8"/>
    <w:rsid w:val="00E55B03"/>
    <w:rsid w:val="00E57642"/>
    <w:rsid w:val="00E64698"/>
    <w:rsid w:val="00E70087"/>
    <w:rsid w:val="00E8362B"/>
    <w:rsid w:val="00E86519"/>
    <w:rsid w:val="00E94534"/>
    <w:rsid w:val="00E94C30"/>
    <w:rsid w:val="00EC574B"/>
    <w:rsid w:val="00EC6ECB"/>
    <w:rsid w:val="00EF33A1"/>
    <w:rsid w:val="00EF68CD"/>
    <w:rsid w:val="00EF7D86"/>
    <w:rsid w:val="00F079E5"/>
    <w:rsid w:val="00F10FEB"/>
    <w:rsid w:val="00F20A6A"/>
    <w:rsid w:val="00F2462E"/>
    <w:rsid w:val="00F32B01"/>
    <w:rsid w:val="00F35916"/>
    <w:rsid w:val="00FA4909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8DF8-B1F0-48ED-B156-08DB9BD1151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ab452ae-721f-4fff-b22f-551bc0a953d2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E651B-FC25-4BE1-B790-6B80099D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1839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5</cp:revision>
  <cp:lastPrinted>2018-04-09T20:17:00Z</cp:lastPrinted>
  <dcterms:created xsi:type="dcterms:W3CDTF">2023-04-11T21:12:00Z</dcterms:created>
  <dcterms:modified xsi:type="dcterms:W3CDTF">2023-04-11T21:37:00Z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